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F8F" w14:textId="77777777" w:rsidR="007678BE" w:rsidRPr="005231B7" w:rsidRDefault="00965856" w:rsidP="007678BE">
      <w:pPr>
        <w:tabs>
          <w:tab w:val="left" w:pos="3544"/>
        </w:tabs>
        <w:spacing w:before="100" w:beforeAutospacing="1" w:after="100" w:afterAutospacing="1" w:line="240" w:lineRule="auto"/>
        <w:ind w:left="4536" w:right="51"/>
        <w:contextualSpacing/>
        <w:mirrorIndents/>
        <w:jc w:val="both"/>
        <w:rPr>
          <w:rFonts w:ascii="Arial" w:eastAsia="Arial Nova" w:hAnsi="Arial" w:cs="Arial"/>
          <w:b/>
        </w:rPr>
      </w:pPr>
      <w:bookmarkStart w:id="0" w:name="_Hlk75943613"/>
      <w:r w:rsidRPr="005231B7">
        <w:rPr>
          <w:rFonts w:ascii="Arial" w:eastAsia="Arial Nova" w:hAnsi="Arial" w:cs="Arial"/>
          <w:b/>
        </w:rPr>
        <w:t>JUICIO PARA LA PROTECCIÓN DE LOS DERECHOS POLÍTICO-ELECTORALES DE LA CIUDADANÍA.</w:t>
      </w:r>
    </w:p>
    <w:p w14:paraId="037766E3" w14:textId="77777777" w:rsidR="005231B7" w:rsidRPr="005231B7" w:rsidRDefault="005231B7" w:rsidP="007678BE">
      <w:pPr>
        <w:tabs>
          <w:tab w:val="left" w:pos="3544"/>
        </w:tabs>
        <w:spacing w:before="100" w:beforeAutospacing="1" w:after="100" w:afterAutospacing="1" w:line="240" w:lineRule="auto"/>
        <w:ind w:left="4536" w:right="51"/>
        <w:contextualSpacing/>
        <w:mirrorIndents/>
        <w:jc w:val="both"/>
        <w:rPr>
          <w:rFonts w:ascii="Arial" w:eastAsia="Arial Nova" w:hAnsi="Arial" w:cs="Arial"/>
          <w:b/>
        </w:rPr>
      </w:pPr>
    </w:p>
    <w:p w14:paraId="1F38FFCF" w14:textId="723CB313" w:rsidR="00965856" w:rsidRDefault="00965856" w:rsidP="007678BE">
      <w:pPr>
        <w:tabs>
          <w:tab w:val="left" w:pos="3544"/>
        </w:tabs>
        <w:spacing w:before="100" w:beforeAutospacing="1" w:after="100" w:afterAutospacing="1" w:line="240" w:lineRule="auto"/>
        <w:ind w:left="4536" w:right="51"/>
        <w:contextualSpacing/>
        <w:mirrorIndents/>
        <w:jc w:val="both"/>
        <w:rPr>
          <w:rFonts w:ascii="Arial" w:hAnsi="Arial" w:cs="Arial"/>
        </w:rPr>
      </w:pPr>
      <w:r w:rsidRPr="005231B7">
        <w:rPr>
          <w:rFonts w:ascii="Arial" w:hAnsi="Arial" w:cs="Arial"/>
          <w:b/>
        </w:rPr>
        <w:t xml:space="preserve">EXPEDIENTE: </w:t>
      </w:r>
      <w:r w:rsidRPr="005231B7">
        <w:rPr>
          <w:rFonts w:ascii="Arial" w:hAnsi="Arial" w:cs="Arial"/>
        </w:rPr>
        <w:t>TEEA-JDC-0</w:t>
      </w:r>
      <w:r w:rsidR="008776BD" w:rsidRPr="005231B7">
        <w:rPr>
          <w:rFonts w:ascii="Arial" w:hAnsi="Arial" w:cs="Arial"/>
        </w:rPr>
        <w:t>0</w:t>
      </w:r>
      <w:r w:rsidR="00E80CE7" w:rsidRPr="005231B7">
        <w:rPr>
          <w:rFonts w:ascii="Arial" w:hAnsi="Arial" w:cs="Arial"/>
        </w:rPr>
        <w:t>3</w:t>
      </w:r>
      <w:r w:rsidRPr="005231B7">
        <w:rPr>
          <w:rFonts w:ascii="Arial" w:hAnsi="Arial" w:cs="Arial"/>
        </w:rPr>
        <w:t>/202</w:t>
      </w:r>
      <w:r w:rsidR="008776BD" w:rsidRPr="005231B7">
        <w:rPr>
          <w:rFonts w:ascii="Arial" w:hAnsi="Arial" w:cs="Arial"/>
        </w:rPr>
        <w:t>4</w:t>
      </w:r>
      <w:r w:rsidRPr="005231B7">
        <w:rPr>
          <w:rFonts w:ascii="Arial" w:hAnsi="Arial" w:cs="Arial"/>
        </w:rPr>
        <w:t>.</w:t>
      </w:r>
    </w:p>
    <w:p w14:paraId="394CA888" w14:textId="77777777" w:rsidR="005231B7" w:rsidRPr="005231B7" w:rsidRDefault="005231B7" w:rsidP="007678BE">
      <w:pPr>
        <w:tabs>
          <w:tab w:val="left" w:pos="3544"/>
        </w:tabs>
        <w:spacing w:before="100" w:beforeAutospacing="1" w:after="100" w:afterAutospacing="1" w:line="240" w:lineRule="auto"/>
        <w:ind w:left="4536" w:right="51"/>
        <w:contextualSpacing/>
        <w:mirrorIndents/>
        <w:jc w:val="both"/>
        <w:rPr>
          <w:rFonts w:ascii="Arial" w:hAnsi="Arial" w:cs="Arial"/>
        </w:rPr>
      </w:pPr>
    </w:p>
    <w:p w14:paraId="5397A846" w14:textId="7384A9FA" w:rsidR="00965856" w:rsidRPr="005231B7" w:rsidRDefault="00965856" w:rsidP="007678BE">
      <w:pPr>
        <w:tabs>
          <w:tab w:val="left" w:pos="3544"/>
        </w:tabs>
        <w:spacing w:before="100" w:beforeAutospacing="1" w:after="100" w:afterAutospacing="1" w:line="240" w:lineRule="auto"/>
        <w:ind w:left="4536" w:right="51"/>
        <w:contextualSpacing/>
        <w:mirrorIndents/>
        <w:jc w:val="both"/>
        <w:rPr>
          <w:rFonts w:ascii="Arial" w:hAnsi="Arial" w:cs="Arial"/>
        </w:rPr>
      </w:pPr>
      <w:r w:rsidRPr="005231B7">
        <w:rPr>
          <w:rFonts w:ascii="Arial" w:hAnsi="Arial" w:cs="Arial"/>
          <w:b/>
        </w:rPr>
        <w:t>PROMOVENTE:</w:t>
      </w:r>
      <w:r w:rsidRPr="005231B7">
        <w:rPr>
          <w:rFonts w:ascii="Arial" w:hAnsi="Arial" w:cs="Arial"/>
        </w:rPr>
        <w:t xml:space="preserve"> </w:t>
      </w:r>
      <w:r w:rsidR="00FE2B63" w:rsidRPr="005231B7">
        <w:rPr>
          <w:rFonts w:ascii="Arial" w:hAnsi="Arial" w:cs="Arial"/>
        </w:rPr>
        <w:t>ENRIQUE MONTALVO VIVANCO.</w:t>
      </w:r>
    </w:p>
    <w:p w14:paraId="622A0E30" w14:textId="77777777" w:rsidR="005231B7" w:rsidRPr="005231B7" w:rsidRDefault="005231B7" w:rsidP="007678BE">
      <w:pPr>
        <w:tabs>
          <w:tab w:val="left" w:pos="3544"/>
        </w:tabs>
        <w:spacing w:before="100" w:beforeAutospacing="1" w:after="100" w:afterAutospacing="1" w:line="240" w:lineRule="auto"/>
        <w:ind w:left="4536" w:right="51"/>
        <w:contextualSpacing/>
        <w:mirrorIndents/>
        <w:jc w:val="both"/>
        <w:rPr>
          <w:rFonts w:ascii="Arial" w:eastAsia="Arial Nova Light" w:hAnsi="Arial" w:cs="Arial"/>
        </w:rPr>
      </w:pPr>
    </w:p>
    <w:p w14:paraId="5AE16860" w14:textId="61D2EAC0" w:rsidR="00965856" w:rsidRPr="005231B7" w:rsidRDefault="00965856" w:rsidP="007678BE">
      <w:pPr>
        <w:tabs>
          <w:tab w:val="left" w:pos="3544"/>
        </w:tabs>
        <w:spacing w:before="100" w:beforeAutospacing="1" w:after="100" w:afterAutospacing="1" w:line="240" w:lineRule="auto"/>
        <w:ind w:left="4536" w:right="51"/>
        <w:contextualSpacing/>
        <w:mirrorIndents/>
        <w:jc w:val="both"/>
        <w:rPr>
          <w:rFonts w:ascii="Arial" w:hAnsi="Arial" w:cs="Arial"/>
          <w:bCs/>
        </w:rPr>
      </w:pPr>
      <w:r w:rsidRPr="005231B7">
        <w:rPr>
          <w:rFonts w:ascii="Arial" w:hAnsi="Arial" w:cs="Arial"/>
          <w:b/>
        </w:rPr>
        <w:t>AUTORIDAD RESPONSABLE:</w:t>
      </w:r>
      <w:r w:rsidRPr="005231B7">
        <w:rPr>
          <w:rFonts w:ascii="Arial" w:hAnsi="Arial" w:cs="Arial"/>
          <w:bCs/>
        </w:rPr>
        <w:t xml:space="preserve"> </w:t>
      </w:r>
      <w:r w:rsidR="00FE2B63" w:rsidRPr="005231B7">
        <w:rPr>
          <w:rFonts w:ascii="Arial" w:hAnsi="Arial" w:cs="Arial"/>
          <w:bCs/>
        </w:rPr>
        <w:t>CONSEJO MUNICIPAL ELECTORAL DE AGUASCALIENTES DEL INSTITUTO ESTATAL ELECTORAL.</w:t>
      </w:r>
    </w:p>
    <w:p w14:paraId="57BDA9AD" w14:textId="77777777" w:rsidR="00906625" w:rsidRPr="005231B7"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rPr>
      </w:pPr>
    </w:p>
    <w:bookmarkEnd w:id="0"/>
    <w:p w14:paraId="7CC28B44" w14:textId="455AB5CE" w:rsidR="00F621D9" w:rsidRPr="005231B7" w:rsidRDefault="00F621D9" w:rsidP="00906625">
      <w:pPr>
        <w:tabs>
          <w:tab w:val="right" w:leader="hyphen" w:pos="8789"/>
        </w:tabs>
        <w:spacing w:before="100" w:beforeAutospacing="1" w:after="100" w:afterAutospacing="1" w:line="360" w:lineRule="auto"/>
        <w:jc w:val="both"/>
        <w:rPr>
          <w:rFonts w:ascii="Arial" w:eastAsia="Times New Roman" w:hAnsi="Arial" w:cs="Arial"/>
          <w:bCs/>
          <w:lang w:eastAsia="es-MX"/>
        </w:rPr>
      </w:pPr>
      <w:r w:rsidRPr="005231B7">
        <w:rPr>
          <w:rFonts w:ascii="Arial" w:eastAsia="Times New Roman" w:hAnsi="Arial" w:cs="Arial"/>
          <w:bCs/>
          <w:lang w:eastAsia="es-MX"/>
        </w:rPr>
        <w:t xml:space="preserve">El Secretario General de Acuerdos, da cuenta al Magistrado Héctor Salvador Hernández Gallegos, presidente de este órgano jurisdiccional electoral, con la documentación </w:t>
      </w:r>
      <w:bookmarkStart w:id="1" w:name="_Hlk503018402"/>
      <w:r w:rsidRPr="005231B7">
        <w:rPr>
          <w:rFonts w:ascii="Arial" w:eastAsia="Times New Roman" w:hAnsi="Arial" w:cs="Arial"/>
          <w:bCs/>
          <w:lang w:eastAsia="es-MX"/>
        </w:rPr>
        <w:t xml:space="preserve">recibida mediante </w:t>
      </w:r>
      <w:r w:rsidR="00C625CA" w:rsidRPr="005231B7">
        <w:rPr>
          <w:rFonts w:ascii="Arial" w:eastAsia="Times New Roman" w:hAnsi="Arial" w:cs="Arial"/>
          <w:bCs/>
          <w:lang w:eastAsia="es-MX"/>
        </w:rPr>
        <w:t>o</w:t>
      </w:r>
      <w:r w:rsidRPr="005231B7">
        <w:rPr>
          <w:rFonts w:ascii="Arial" w:eastAsia="Times New Roman" w:hAnsi="Arial" w:cs="Arial"/>
          <w:bCs/>
          <w:lang w:eastAsia="es-MX"/>
        </w:rPr>
        <w:t xml:space="preserve">ficio </w:t>
      </w:r>
      <w:bookmarkStart w:id="2" w:name="_Hlk515868995"/>
      <w:r w:rsidRPr="005231B7">
        <w:rPr>
          <w:rFonts w:ascii="Arial" w:eastAsia="Times New Roman" w:hAnsi="Arial" w:cs="Arial"/>
          <w:bCs/>
          <w:lang w:val="es-ES" w:eastAsia="es-MX"/>
        </w:rPr>
        <w:t>TEEA-OP-</w:t>
      </w:r>
      <w:r w:rsidR="006B6603" w:rsidRPr="005231B7">
        <w:rPr>
          <w:rFonts w:ascii="Arial" w:eastAsia="Times New Roman" w:hAnsi="Arial" w:cs="Arial"/>
          <w:bCs/>
          <w:lang w:val="es-ES" w:eastAsia="es-MX"/>
        </w:rPr>
        <w:t>0</w:t>
      </w:r>
      <w:r w:rsidR="00E80CE7" w:rsidRPr="005231B7">
        <w:rPr>
          <w:rFonts w:ascii="Arial" w:eastAsia="Times New Roman" w:hAnsi="Arial" w:cs="Arial"/>
          <w:bCs/>
          <w:lang w:val="es-ES" w:eastAsia="es-MX"/>
        </w:rPr>
        <w:t>44</w:t>
      </w:r>
      <w:r w:rsidRPr="005231B7">
        <w:rPr>
          <w:rFonts w:ascii="Arial" w:eastAsia="Times New Roman" w:hAnsi="Arial" w:cs="Arial"/>
          <w:bCs/>
          <w:lang w:val="es-ES" w:eastAsia="es-MX"/>
        </w:rPr>
        <w:t>/202</w:t>
      </w:r>
      <w:r w:rsidR="008776BD" w:rsidRPr="005231B7">
        <w:rPr>
          <w:rFonts w:ascii="Arial" w:eastAsia="Times New Roman" w:hAnsi="Arial" w:cs="Arial"/>
          <w:bCs/>
          <w:lang w:val="es-ES" w:eastAsia="es-MX"/>
        </w:rPr>
        <w:t>4</w:t>
      </w:r>
      <w:r w:rsidRPr="005231B7">
        <w:rPr>
          <w:rFonts w:ascii="Arial" w:eastAsia="Times New Roman" w:hAnsi="Arial" w:cs="Arial"/>
          <w:bCs/>
          <w:lang w:val="es-ES" w:eastAsia="es-MX"/>
        </w:rPr>
        <w:t xml:space="preserve">, </w:t>
      </w:r>
      <w:bookmarkEnd w:id="2"/>
      <w:r w:rsidRPr="005231B7">
        <w:rPr>
          <w:rFonts w:ascii="Arial" w:eastAsia="Times New Roman" w:hAnsi="Arial" w:cs="Arial"/>
          <w:bCs/>
          <w:lang w:val="es-ES" w:eastAsia="es-MX"/>
        </w:rPr>
        <w:t xml:space="preserve">de </w:t>
      </w:r>
      <w:r w:rsidR="00FA77EB">
        <w:rPr>
          <w:rFonts w:ascii="Arial" w:eastAsia="Times New Roman" w:hAnsi="Arial" w:cs="Arial"/>
          <w:bCs/>
          <w:lang w:val="es-ES" w:eastAsia="es-MX"/>
        </w:rPr>
        <w:t xml:space="preserve">fecha </w:t>
      </w:r>
      <w:r w:rsidR="00E80CE7" w:rsidRPr="005231B7">
        <w:rPr>
          <w:rFonts w:ascii="Arial" w:eastAsia="Times New Roman" w:hAnsi="Arial" w:cs="Arial"/>
          <w:bCs/>
          <w:lang w:val="es-ES" w:eastAsia="es-MX"/>
        </w:rPr>
        <w:t>veintiocho</w:t>
      </w:r>
      <w:r w:rsidR="008776BD" w:rsidRPr="005231B7">
        <w:rPr>
          <w:rFonts w:ascii="Arial" w:eastAsia="Times New Roman" w:hAnsi="Arial" w:cs="Arial"/>
          <w:bCs/>
          <w:lang w:val="es-ES" w:eastAsia="es-MX"/>
        </w:rPr>
        <w:t xml:space="preserve"> de marzo del dos mil veinticuatro</w:t>
      </w:r>
      <w:r w:rsidRPr="005231B7">
        <w:rPr>
          <w:rFonts w:ascii="Arial" w:eastAsia="Times New Roman" w:hAnsi="Arial" w:cs="Arial"/>
          <w:bCs/>
          <w:lang w:val="es-ES" w:eastAsia="es-MX"/>
        </w:rPr>
        <w:t xml:space="preserve">, </w:t>
      </w:r>
      <w:bookmarkEnd w:id="1"/>
      <w:r w:rsidRPr="005231B7">
        <w:rPr>
          <w:rFonts w:ascii="Arial" w:eastAsia="Times New Roman" w:hAnsi="Arial" w:cs="Arial"/>
          <w:bCs/>
          <w:lang w:val="es-ES" w:eastAsia="es-MX"/>
        </w:rPr>
        <w:t xml:space="preserve">emitido por la </w:t>
      </w:r>
      <w:r w:rsidR="008776BD" w:rsidRPr="005231B7">
        <w:rPr>
          <w:rFonts w:ascii="Arial" w:eastAsia="Times New Roman" w:hAnsi="Arial" w:cs="Arial"/>
          <w:bCs/>
          <w:lang w:val="es-ES" w:eastAsia="es-MX"/>
        </w:rPr>
        <w:t xml:space="preserve">Titular de </w:t>
      </w:r>
      <w:r w:rsidRPr="005231B7">
        <w:rPr>
          <w:rFonts w:ascii="Arial" w:eastAsia="Times New Roman" w:hAnsi="Arial" w:cs="Arial"/>
          <w:bCs/>
          <w:lang w:val="es-ES" w:eastAsia="es-MX"/>
        </w:rPr>
        <w:t>Oficialía de Partes de este Tribunal, con la documentación que en él se describe</w:t>
      </w:r>
      <w:r w:rsidRPr="005231B7">
        <w:rPr>
          <w:rFonts w:ascii="Arial" w:eastAsia="Times New Roman" w:hAnsi="Arial" w:cs="Arial"/>
          <w:bCs/>
          <w:lang w:eastAsia="es-MX"/>
        </w:rPr>
        <w:t>.</w:t>
      </w:r>
    </w:p>
    <w:tbl>
      <w:tblPr>
        <w:tblStyle w:val="Tablaconcuadrcula"/>
        <w:tblW w:w="0" w:type="auto"/>
        <w:tblLook w:val="04A0" w:firstRow="1" w:lastRow="0" w:firstColumn="1" w:lastColumn="0" w:noHBand="0" w:noVBand="1"/>
      </w:tblPr>
      <w:tblGrid>
        <w:gridCol w:w="3681"/>
        <w:gridCol w:w="5147"/>
      </w:tblGrid>
      <w:tr w:rsidR="00026873" w:rsidRPr="005231B7" w14:paraId="6131756D" w14:textId="77777777" w:rsidTr="00906625">
        <w:trPr>
          <w:trHeight w:val="192"/>
        </w:trPr>
        <w:tc>
          <w:tcPr>
            <w:tcW w:w="3681" w:type="dxa"/>
          </w:tcPr>
          <w:p w14:paraId="610E3193" w14:textId="77777777" w:rsidR="00026873" w:rsidRPr="005231B7" w:rsidRDefault="00026873" w:rsidP="00906625">
            <w:pPr>
              <w:spacing w:before="100" w:beforeAutospacing="1" w:after="100" w:afterAutospacing="1" w:line="240" w:lineRule="auto"/>
              <w:jc w:val="center"/>
              <w:rPr>
                <w:rFonts w:ascii="Arial" w:eastAsia="Times New Roman" w:hAnsi="Arial" w:cs="Arial"/>
                <w:b/>
                <w:lang w:eastAsia="es-MX"/>
              </w:rPr>
            </w:pPr>
            <w:r w:rsidRPr="005231B7">
              <w:rPr>
                <w:rFonts w:ascii="Arial" w:eastAsia="Times New Roman" w:hAnsi="Arial" w:cs="Arial"/>
                <w:b/>
                <w:lang w:eastAsia="es-MX"/>
              </w:rPr>
              <w:t>Documentación recibida</w:t>
            </w:r>
          </w:p>
        </w:tc>
        <w:tc>
          <w:tcPr>
            <w:tcW w:w="5147" w:type="dxa"/>
          </w:tcPr>
          <w:p w14:paraId="7890AC5D" w14:textId="77777777" w:rsidR="00026873" w:rsidRPr="005231B7" w:rsidRDefault="00026873" w:rsidP="00906625">
            <w:pPr>
              <w:spacing w:before="100" w:beforeAutospacing="1" w:after="100" w:afterAutospacing="1" w:line="240" w:lineRule="auto"/>
              <w:jc w:val="center"/>
              <w:rPr>
                <w:rFonts w:ascii="Arial" w:eastAsia="Times New Roman" w:hAnsi="Arial" w:cs="Arial"/>
                <w:b/>
                <w:lang w:eastAsia="es-MX"/>
              </w:rPr>
            </w:pPr>
            <w:r w:rsidRPr="005231B7">
              <w:rPr>
                <w:rFonts w:ascii="Arial" w:eastAsia="Times New Roman" w:hAnsi="Arial" w:cs="Arial"/>
                <w:b/>
                <w:lang w:eastAsia="es-MX"/>
              </w:rPr>
              <w:t>Acto impugnado</w:t>
            </w:r>
          </w:p>
        </w:tc>
      </w:tr>
      <w:tr w:rsidR="00762E19" w:rsidRPr="005231B7" w14:paraId="43DEE2FB" w14:textId="77777777" w:rsidTr="00150B43">
        <w:tc>
          <w:tcPr>
            <w:tcW w:w="3681" w:type="dxa"/>
          </w:tcPr>
          <w:p w14:paraId="4172CA5D" w14:textId="10362A88" w:rsidR="00762E19" w:rsidRPr="005231B7" w:rsidRDefault="00FA77EB" w:rsidP="00906625">
            <w:pPr>
              <w:spacing w:before="100" w:beforeAutospacing="1" w:after="100" w:afterAutospacing="1" w:line="240" w:lineRule="auto"/>
              <w:jc w:val="both"/>
              <w:rPr>
                <w:rFonts w:ascii="Arial" w:eastAsia="Times New Roman" w:hAnsi="Arial" w:cs="Arial"/>
                <w:lang w:eastAsia="es-MX"/>
              </w:rPr>
            </w:pPr>
            <w:r w:rsidRPr="00FA77EB">
              <w:rPr>
                <w:rFonts w:ascii="Arial" w:hAnsi="Arial" w:cs="Arial"/>
                <w:bCs/>
              </w:rPr>
              <w:t xml:space="preserve">Juicio para la Protección de los Derechos Político Electorales del Ciudadano de fecha veintiocho de marzo del presente año, presentado y signado por el C. Enrique Montalvo Vivanco, en su carácter de aspirante al cargo de Regidor por el </w:t>
            </w:r>
            <w:r>
              <w:rPr>
                <w:rFonts w:ascii="Arial" w:hAnsi="Arial" w:cs="Arial"/>
                <w:bCs/>
              </w:rPr>
              <w:t>P</w:t>
            </w:r>
            <w:r w:rsidRPr="00FA77EB">
              <w:rPr>
                <w:rFonts w:ascii="Arial" w:hAnsi="Arial" w:cs="Arial"/>
                <w:bCs/>
              </w:rPr>
              <w:t xml:space="preserve">rincipio de </w:t>
            </w:r>
            <w:r>
              <w:rPr>
                <w:rFonts w:ascii="Arial" w:hAnsi="Arial" w:cs="Arial"/>
                <w:bCs/>
              </w:rPr>
              <w:t>M</w:t>
            </w:r>
            <w:r w:rsidRPr="00FA77EB">
              <w:rPr>
                <w:rFonts w:ascii="Arial" w:hAnsi="Arial" w:cs="Arial"/>
                <w:bCs/>
              </w:rPr>
              <w:t xml:space="preserve">ayoría </w:t>
            </w:r>
            <w:r>
              <w:rPr>
                <w:rFonts w:ascii="Arial" w:hAnsi="Arial" w:cs="Arial"/>
                <w:bCs/>
              </w:rPr>
              <w:t>R</w:t>
            </w:r>
            <w:r w:rsidRPr="00FA77EB">
              <w:rPr>
                <w:rFonts w:ascii="Arial" w:hAnsi="Arial" w:cs="Arial"/>
                <w:bCs/>
              </w:rPr>
              <w:t>elativa por el Partido MORENA</w:t>
            </w:r>
            <w:r>
              <w:rPr>
                <w:rFonts w:ascii="Arial" w:hAnsi="Arial" w:cs="Arial"/>
                <w:bCs/>
              </w:rPr>
              <w:t>.</w:t>
            </w:r>
          </w:p>
        </w:tc>
        <w:tc>
          <w:tcPr>
            <w:tcW w:w="5147" w:type="dxa"/>
          </w:tcPr>
          <w:p w14:paraId="6BCA1D9C" w14:textId="2951F002" w:rsidR="00F621D9" w:rsidRPr="005231B7" w:rsidRDefault="00DA5E73" w:rsidP="00906625">
            <w:pPr>
              <w:spacing w:before="100" w:beforeAutospacing="1" w:after="100" w:afterAutospacing="1" w:line="240" w:lineRule="auto"/>
              <w:jc w:val="both"/>
              <w:rPr>
                <w:rFonts w:ascii="Arial" w:eastAsia="Times New Roman" w:hAnsi="Arial" w:cs="Arial"/>
                <w:bCs/>
                <w:lang w:eastAsia="es-MX"/>
              </w:rPr>
            </w:pPr>
            <w:r>
              <w:rPr>
                <w:rFonts w:ascii="Arial" w:hAnsi="Arial" w:cs="Arial"/>
                <w:bCs/>
              </w:rPr>
              <w:t>Acuerdo CME-AGS-R-05/24 emitido por el Consejo Municipal Electoral de Aguascalientes del I</w:t>
            </w:r>
            <w:r>
              <w:rPr>
                <w:rFonts w:ascii="Arial" w:hAnsi="Arial" w:cs="Arial"/>
                <w:bCs/>
              </w:rPr>
              <w:t>nstituto Estatal Electoral.</w:t>
            </w:r>
          </w:p>
        </w:tc>
      </w:tr>
    </w:tbl>
    <w:p w14:paraId="02980CC2" w14:textId="4501E7D5" w:rsidR="00F621D9" w:rsidRPr="005231B7" w:rsidRDefault="00F621D9" w:rsidP="00906625">
      <w:pPr>
        <w:tabs>
          <w:tab w:val="right" w:leader="hyphen" w:pos="8789"/>
        </w:tabs>
        <w:spacing w:before="100" w:beforeAutospacing="1" w:after="100" w:afterAutospacing="1" w:line="360" w:lineRule="auto"/>
        <w:jc w:val="both"/>
        <w:rPr>
          <w:rFonts w:ascii="Arial" w:hAnsi="Arial" w:cs="Arial"/>
          <w:b/>
          <w:bCs/>
        </w:rPr>
      </w:pPr>
      <w:r w:rsidRPr="005231B7">
        <w:rPr>
          <w:rFonts w:ascii="Arial" w:hAnsi="Arial" w:cs="Arial"/>
          <w:b/>
          <w:bCs/>
        </w:rPr>
        <w:t>Aguascalientes, Aguascalientes</w:t>
      </w:r>
      <w:r w:rsidR="000750FD" w:rsidRPr="005231B7">
        <w:rPr>
          <w:rFonts w:ascii="Arial" w:hAnsi="Arial" w:cs="Arial"/>
          <w:b/>
          <w:bCs/>
        </w:rPr>
        <w:t>,</w:t>
      </w:r>
      <w:r w:rsidRPr="005231B7">
        <w:rPr>
          <w:rFonts w:ascii="Arial" w:hAnsi="Arial" w:cs="Arial"/>
          <w:b/>
          <w:bCs/>
        </w:rPr>
        <w:t xml:space="preserve"> a </w:t>
      </w:r>
      <w:r w:rsidR="008776BD" w:rsidRPr="005231B7">
        <w:rPr>
          <w:rFonts w:ascii="Arial" w:hAnsi="Arial" w:cs="Arial"/>
          <w:b/>
          <w:bCs/>
        </w:rPr>
        <w:t>ve</w:t>
      </w:r>
      <w:r w:rsidR="00E80CE7" w:rsidRPr="005231B7">
        <w:rPr>
          <w:rFonts w:ascii="Arial" w:hAnsi="Arial" w:cs="Arial"/>
          <w:b/>
          <w:bCs/>
        </w:rPr>
        <w:t>int</w:t>
      </w:r>
      <w:r w:rsidR="00FE2B63" w:rsidRPr="005231B7">
        <w:rPr>
          <w:rFonts w:ascii="Arial" w:hAnsi="Arial" w:cs="Arial"/>
          <w:b/>
          <w:bCs/>
        </w:rPr>
        <w:t>i</w:t>
      </w:r>
      <w:r w:rsidR="00E80CE7" w:rsidRPr="005231B7">
        <w:rPr>
          <w:rFonts w:ascii="Arial" w:hAnsi="Arial" w:cs="Arial"/>
          <w:b/>
          <w:bCs/>
        </w:rPr>
        <w:t>ocho</w:t>
      </w:r>
      <w:r w:rsidR="008776BD" w:rsidRPr="005231B7">
        <w:rPr>
          <w:rFonts w:ascii="Arial" w:hAnsi="Arial" w:cs="Arial"/>
          <w:b/>
          <w:bCs/>
        </w:rPr>
        <w:t xml:space="preserve"> de marzo del dos mil veinticuatro</w:t>
      </w:r>
      <w:r w:rsidRPr="005231B7">
        <w:rPr>
          <w:rFonts w:ascii="Arial" w:hAnsi="Arial" w:cs="Arial"/>
          <w:b/>
          <w:bCs/>
        </w:rPr>
        <w:t>.</w:t>
      </w:r>
    </w:p>
    <w:p w14:paraId="6EF81015" w14:textId="59F59533" w:rsidR="00E83599" w:rsidRPr="005231B7" w:rsidRDefault="00866475" w:rsidP="00906625">
      <w:pPr>
        <w:spacing w:before="100" w:beforeAutospacing="1" w:after="100" w:afterAutospacing="1" w:line="360" w:lineRule="auto"/>
        <w:jc w:val="both"/>
        <w:rPr>
          <w:rFonts w:ascii="Arial" w:hAnsi="Arial" w:cs="Arial"/>
        </w:rPr>
      </w:pPr>
      <w:r w:rsidRPr="005231B7">
        <w:rPr>
          <w:rFonts w:ascii="Arial" w:hAnsi="Arial" w:cs="Arial"/>
        </w:rPr>
        <w:t>Vista la cuenta, con fundamento en los artículos 298, 299, 354 y 35</w:t>
      </w:r>
      <w:r w:rsidR="00DB57FA" w:rsidRPr="005231B7">
        <w:rPr>
          <w:rFonts w:ascii="Arial" w:hAnsi="Arial" w:cs="Arial"/>
        </w:rPr>
        <w:t>7</w:t>
      </w:r>
      <w:r w:rsidRPr="005231B7">
        <w:rPr>
          <w:rFonts w:ascii="Arial" w:hAnsi="Arial" w:cs="Arial"/>
        </w:rPr>
        <w:t>, fracción V</w:t>
      </w:r>
      <w:r w:rsidR="00DB57FA" w:rsidRPr="005231B7">
        <w:rPr>
          <w:rFonts w:ascii="Arial" w:hAnsi="Arial" w:cs="Arial"/>
        </w:rPr>
        <w:t xml:space="preserve">, </w:t>
      </w:r>
      <w:r w:rsidRPr="005231B7">
        <w:rPr>
          <w:rFonts w:ascii="Arial" w:hAnsi="Arial" w:cs="Arial"/>
        </w:rPr>
        <w:t>del Código Electoral del Estado de Aguascalientes</w:t>
      </w:r>
      <w:r w:rsidR="00C95FCB" w:rsidRPr="005231B7">
        <w:rPr>
          <w:rFonts w:ascii="Arial" w:hAnsi="Arial" w:cs="Arial"/>
        </w:rPr>
        <w:t xml:space="preserve"> (</w:t>
      </w:r>
      <w:r w:rsidR="00C95FCB" w:rsidRPr="005231B7">
        <w:rPr>
          <w:rFonts w:ascii="Arial" w:hAnsi="Arial" w:cs="Arial"/>
          <w:smallCaps/>
        </w:rPr>
        <w:t>Código Electoral</w:t>
      </w:r>
      <w:r w:rsidR="00C95FCB" w:rsidRPr="005231B7">
        <w:rPr>
          <w:rFonts w:ascii="Arial" w:hAnsi="Arial" w:cs="Arial"/>
        </w:rPr>
        <w:t>)</w:t>
      </w:r>
      <w:r w:rsidRPr="005231B7">
        <w:rPr>
          <w:rFonts w:ascii="Arial" w:hAnsi="Arial" w:cs="Arial"/>
        </w:rPr>
        <w:t>; 18, fracción XIII,</w:t>
      </w:r>
      <w:r w:rsidR="00DB57FA" w:rsidRPr="005231B7">
        <w:rPr>
          <w:rFonts w:ascii="Arial" w:hAnsi="Arial" w:cs="Arial"/>
        </w:rPr>
        <w:t xml:space="preserve"> </w:t>
      </w:r>
      <w:r w:rsidRPr="005231B7">
        <w:rPr>
          <w:rFonts w:ascii="Arial" w:hAnsi="Arial" w:cs="Arial"/>
        </w:rPr>
        <w:t>2</w:t>
      </w:r>
      <w:r w:rsidR="00DB57FA" w:rsidRPr="005231B7">
        <w:rPr>
          <w:rFonts w:ascii="Arial" w:hAnsi="Arial" w:cs="Arial"/>
        </w:rPr>
        <w:t>8</w:t>
      </w:r>
      <w:r w:rsidRPr="005231B7">
        <w:rPr>
          <w:rFonts w:ascii="Arial" w:hAnsi="Arial" w:cs="Arial"/>
        </w:rPr>
        <w:t>, fracción VII, 101,102 y 113, del Reglamento Interior del Tribunal Electoral del Estado de Aguascalientes</w:t>
      </w:r>
      <w:r w:rsidR="00C95FCB" w:rsidRPr="005231B7">
        <w:rPr>
          <w:rFonts w:ascii="Arial" w:hAnsi="Arial" w:cs="Arial"/>
        </w:rPr>
        <w:t xml:space="preserve"> (</w:t>
      </w:r>
      <w:r w:rsidR="00C95FCB" w:rsidRPr="005231B7">
        <w:rPr>
          <w:rFonts w:ascii="Arial" w:hAnsi="Arial" w:cs="Arial"/>
          <w:smallCaps/>
        </w:rPr>
        <w:t>Reglamento Interior</w:t>
      </w:r>
      <w:r w:rsidR="00C95FCB" w:rsidRPr="005231B7">
        <w:rPr>
          <w:rFonts w:ascii="Arial" w:hAnsi="Arial" w:cs="Arial"/>
        </w:rPr>
        <w:t>)</w:t>
      </w:r>
      <w:r w:rsidRPr="005231B7">
        <w:rPr>
          <w:rFonts w:ascii="Arial" w:hAnsi="Arial" w:cs="Arial"/>
        </w:rPr>
        <w:t>; 9, 10 y 11 de los Lineamientos para la tramitación, sustanciación y resolución del juicio para la protección de los derechos político-electorales de</w:t>
      </w:r>
      <w:r w:rsidR="00B276C3" w:rsidRPr="005231B7">
        <w:rPr>
          <w:rFonts w:ascii="Arial" w:hAnsi="Arial" w:cs="Arial"/>
        </w:rPr>
        <w:t>l</w:t>
      </w:r>
      <w:r w:rsidRPr="005231B7">
        <w:rPr>
          <w:rFonts w:ascii="Arial" w:hAnsi="Arial" w:cs="Arial"/>
        </w:rPr>
        <w:t xml:space="preserve"> ciudadan</w:t>
      </w:r>
      <w:r w:rsidR="00B276C3" w:rsidRPr="005231B7">
        <w:rPr>
          <w:rFonts w:ascii="Arial" w:hAnsi="Arial" w:cs="Arial"/>
        </w:rPr>
        <w:t>o</w:t>
      </w:r>
      <w:r w:rsidRPr="005231B7">
        <w:rPr>
          <w:rFonts w:ascii="Arial" w:hAnsi="Arial" w:cs="Arial"/>
        </w:rPr>
        <w:t>, el juicio electoral, y asunto general, competencia del Tribunal Electoral del Estado de Aguascalientes</w:t>
      </w:r>
      <w:r w:rsidR="00C95FCB" w:rsidRPr="005231B7">
        <w:rPr>
          <w:rFonts w:ascii="Arial" w:hAnsi="Arial" w:cs="Arial"/>
        </w:rPr>
        <w:t xml:space="preserve"> (</w:t>
      </w:r>
      <w:r w:rsidR="00C95FCB" w:rsidRPr="005231B7">
        <w:rPr>
          <w:rFonts w:ascii="Arial" w:hAnsi="Arial" w:cs="Arial"/>
          <w:smallCaps/>
        </w:rPr>
        <w:t>Lineamientos</w:t>
      </w:r>
      <w:r w:rsidR="00C95FCB" w:rsidRPr="005231B7">
        <w:rPr>
          <w:rFonts w:ascii="Arial" w:hAnsi="Arial" w:cs="Arial"/>
        </w:rPr>
        <w:t>)</w:t>
      </w:r>
      <w:r w:rsidR="004349E9" w:rsidRPr="005231B7">
        <w:rPr>
          <w:rFonts w:ascii="Arial" w:hAnsi="Arial" w:cs="Arial"/>
        </w:rPr>
        <w:t xml:space="preserve">; y, </w:t>
      </w:r>
      <w:r w:rsidR="004349E9" w:rsidRPr="005231B7">
        <w:rPr>
          <w:rFonts w:ascii="Arial" w:eastAsia="Times New Roman" w:hAnsi="Arial" w:cs="Arial"/>
          <w:bCs/>
          <w:lang w:eastAsia="es-MX"/>
        </w:rPr>
        <w:t xml:space="preserve">Primero, de los </w:t>
      </w:r>
      <w:r w:rsidR="004349E9" w:rsidRPr="005231B7">
        <w:rPr>
          <w:rFonts w:ascii="Arial" w:hAnsi="Arial" w:cs="Arial"/>
          <w:bCs/>
        </w:rPr>
        <w:t>Lineamientos para el Turno Aleatorio de los Medios de Impugnación del Tribunal Electoral del Estado de Aguascalientes (</w:t>
      </w:r>
      <w:r w:rsidR="004349E9" w:rsidRPr="005231B7">
        <w:rPr>
          <w:rFonts w:ascii="Arial" w:hAnsi="Arial" w:cs="Arial"/>
          <w:bCs/>
          <w:smallCaps/>
        </w:rPr>
        <w:t>Lineamientos para el Turno Aleatorio</w:t>
      </w:r>
      <w:r w:rsidR="004349E9" w:rsidRPr="005231B7">
        <w:rPr>
          <w:rFonts w:ascii="Arial" w:hAnsi="Arial" w:cs="Arial"/>
          <w:bCs/>
        </w:rPr>
        <w:t xml:space="preserve">), </w:t>
      </w:r>
      <w:r w:rsidRPr="005231B7">
        <w:rPr>
          <w:rFonts w:ascii="Arial" w:hAnsi="Arial" w:cs="Arial"/>
        </w:rPr>
        <w:t>se acuerda:</w:t>
      </w:r>
    </w:p>
    <w:p w14:paraId="5A5793C5" w14:textId="4FE97ED3" w:rsidR="00F621D9" w:rsidRPr="005231B7" w:rsidRDefault="00026873" w:rsidP="00906625">
      <w:pPr>
        <w:spacing w:before="100" w:beforeAutospacing="1" w:after="100" w:afterAutospacing="1" w:line="360" w:lineRule="auto"/>
        <w:jc w:val="both"/>
        <w:rPr>
          <w:rFonts w:ascii="Arial" w:eastAsia="Times New Roman" w:hAnsi="Arial" w:cs="Arial"/>
          <w:b/>
          <w:lang w:eastAsia="es-MX"/>
        </w:rPr>
      </w:pPr>
      <w:r w:rsidRPr="005231B7">
        <w:rPr>
          <w:rFonts w:ascii="Arial" w:eastAsia="Times New Roman" w:hAnsi="Arial" w:cs="Arial"/>
          <w:b/>
          <w:bCs/>
          <w:lang w:eastAsia="es-MX"/>
        </w:rPr>
        <w:t xml:space="preserve">PRIMERO. </w:t>
      </w:r>
      <w:r w:rsidR="0049280A" w:rsidRPr="005231B7">
        <w:rPr>
          <w:rFonts w:ascii="Arial" w:eastAsia="Times New Roman" w:hAnsi="Arial" w:cs="Arial"/>
          <w:b/>
          <w:bCs/>
          <w:lang w:eastAsia="es-MX"/>
        </w:rPr>
        <w:t xml:space="preserve">Integración de expediente. </w:t>
      </w:r>
      <w:r w:rsidR="0049280A" w:rsidRPr="005231B7">
        <w:rPr>
          <w:rFonts w:ascii="Arial" w:eastAsia="Times New Roman" w:hAnsi="Arial" w:cs="Arial"/>
          <w:lang w:eastAsia="es-MX"/>
        </w:rPr>
        <w:t xml:space="preserve">Con el escrito de cuenta y su anexo, intégrese el expediente respectivo y regístrese en el Libro de Gobierno con la clave </w:t>
      </w:r>
      <w:r w:rsidR="006228E8" w:rsidRPr="005231B7">
        <w:rPr>
          <w:rFonts w:ascii="Arial" w:eastAsia="Times New Roman" w:hAnsi="Arial" w:cs="Arial"/>
          <w:b/>
          <w:bCs/>
          <w:lang w:eastAsia="es-MX"/>
        </w:rPr>
        <w:t>TEEA-JDC-0</w:t>
      </w:r>
      <w:r w:rsidR="008776BD" w:rsidRPr="005231B7">
        <w:rPr>
          <w:rFonts w:ascii="Arial" w:eastAsia="Times New Roman" w:hAnsi="Arial" w:cs="Arial"/>
          <w:b/>
          <w:bCs/>
          <w:lang w:eastAsia="es-MX"/>
        </w:rPr>
        <w:t>0</w:t>
      </w:r>
      <w:r w:rsidR="00E80CE7" w:rsidRPr="005231B7">
        <w:rPr>
          <w:rFonts w:ascii="Arial" w:eastAsia="Times New Roman" w:hAnsi="Arial" w:cs="Arial"/>
          <w:b/>
          <w:bCs/>
          <w:lang w:eastAsia="es-MX"/>
        </w:rPr>
        <w:t>3</w:t>
      </w:r>
      <w:r w:rsidR="006228E8" w:rsidRPr="005231B7">
        <w:rPr>
          <w:rFonts w:ascii="Arial" w:eastAsia="Times New Roman" w:hAnsi="Arial" w:cs="Arial"/>
          <w:b/>
          <w:bCs/>
          <w:lang w:eastAsia="es-MX"/>
        </w:rPr>
        <w:t>/202</w:t>
      </w:r>
      <w:r w:rsidR="008776BD" w:rsidRPr="005231B7">
        <w:rPr>
          <w:rFonts w:ascii="Arial" w:eastAsia="Times New Roman" w:hAnsi="Arial" w:cs="Arial"/>
          <w:b/>
          <w:bCs/>
          <w:lang w:eastAsia="es-MX"/>
        </w:rPr>
        <w:t>4</w:t>
      </w:r>
      <w:r w:rsidR="006228E8" w:rsidRPr="005231B7">
        <w:rPr>
          <w:rFonts w:ascii="Arial" w:eastAsia="Times New Roman" w:hAnsi="Arial" w:cs="Arial"/>
          <w:b/>
          <w:bCs/>
          <w:lang w:eastAsia="es-MX"/>
        </w:rPr>
        <w:t>.</w:t>
      </w:r>
      <w:r w:rsidR="00E83599" w:rsidRPr="005231B7">
        <w:rPr>
          <w:rStyle w:val="Refdenotaalpie"/>
          <w:rFonts w:ascii="Arial" w:eastAsia="Times New Roman" w:hAnsi="Arial" w:cs="Arial"/>
          <w:b/>
          <w:bCs/>
          <w:lang w:eastAsia="es-MX"/>
        </w:rPr>
        <w:footnoteReference w:id="1"/>
      </w:r>
    </w:p>
    <w:p w14:paraId="5E54DB5B" w14:textId="058401F8" w:rsidR="009C6F60" w:rsidRPr="005231B7" w:rsidRDefault="00EF6624" w:rsidP="00906625">
      <w:pPr>
        <w:spacing w:before="100" w:beforeAutospacing="1" w:after="100" w:afterAutospacing="1" w:line="360" w:lineRule="auto"/>
        <w:jc w:val="both"/>
        <w:rPr>
          <w:rFonts w:ascii="Arial" w:eastAsia="Times New Roman" w:hAnsi="Arial" w:cs="Arial"/>
          <w:lang w:eastAsia="es-MX"/>
        </w:rPr>
      </w:pPr>
      <w:r w:rsidRPr="005231B7">
        <w:rPr>
          <w:rFonts w:ascii="Arial" w:eastAsia="Times New Roman" w:hAnsi="Arial" w:cs="Arial"/>
          <w:b/>
          <w:bCs/>
          <w:lang w:eastAsia="es-MX"/>
        </w:rPr>
        <w:t>SEGUNDO</w:t>
      </w:r>
      <w:r w:rsidR="009C6F60" w:rsidRPr="005231B7">
        <w:rPr>
          <w:rFonts w:ascii="Arial" w:eastAsia="Times New Roman" w:hAnsi="Arial" w:cs="Arial"/>
          <w:b/>
          <w:bCs/>
          <w:lang w:eastAsia="es-MX"/>
        </w:rPr>
        <w:t>.</w:t>
      </w:r>
      <w:r w:rsidR="009C6F60" w:rsidRPr="005231B7">
        <w:rPr>
          <w:rFonts w:ascii="Arial" w:eastAsia="Times New Roman" w:hAnsi="Arial" w:cs="Arial"/>
          <w:bCs/>
          <w:lang w:eastAsia="es-MX"/>
        </w:rPr>
        <w:t xml:space="preserve"> </w:t>
      </w:r>
      <w:r w:rsidR="0049280A" w:rsidRPr="005231B7">
        <w:rPr>
          <w:rFonts w:ascii="Arial" w:eastAsia="Times New Roman" w:hAnsi="Arial" w:cs="Arial"/>
          <w:b/>
          <w:lang w:eastAsia="es-MX"/>
        </w:rPr>
        <w:t xml:space="preserve">Turno. </w:t>
      </w:r>
      <w:r w:rsidR="008776BD" w:rsidRPr="005231B7">
        <w:rPr>
          <w:rFonts w:ascii="Arial" w:eastAsia="Times New Roman" w:hAnsi="Arial" w:cs="Arial"/>
          <w:bCs/>
          <w:lang w:eastAsia="es-MX"/>
        </w:rPr>
        <w:t xml:space="preserve">Con fundamento en el artículo </w:t>
      </w:r>
      <w:r w:rsidR="00FB66A2" w:rsidRPr="005231B7">
        <w:rPr>
          <w:rFonts w:ascii="Arial" w:eastAsia="Times New Roman" w:hAnsi="Arial" w:cs="Arial"/>
          <w:bCs/>
          <w:lang w:eastAsia="es-MX"/>
        </w:rPr>
        <w:t>S</w:t>
      </w:r>
      <w:r w:rsidR="008776BD" w:rsidRPr="005231B7">
        <w:rPr>
          <w:rFonts w:ascii="Arial" w:eastAsia="Times New Roman" w:hAnsi="Arial" w:cs="Arial"/>
          <w:bCs/>
          <w:lang w:eastAsia="es-MX"/>
        </w:rPr>
        <w:t>egundo</w:t>
      </w:r>
      <w:r w:rsidR="00FB66A2" w:rsidRPr="005231B7">
        <w:rPr>
          <w:rFonts w:ascii="Arial" w:eastAsia="Times New Roman" w:hAnsi="Arial" w:cs="Arial"/>
          <w:bCs/>
          <w:lang w:eastAsia="es-MX"/>
        </w:rPr>
        <w:t>,</w:t>
      </w:r>
      <w:r w:rsidR="008776BD" w:rsidRPr="005231B7">
        <w:rPr>
          <w:rFonts w:ascii="Arial" w:eastAsia="Times New Roman" w:hAnsi="Arial" w:cs="Arial"/>
          <w:bCs/>
          <w:lang w:eastAsia="es-MX"/>
        </w:rPr>
        <w:t xml:space="preserve"> de los </w:t>
      </w:r>
      <w:r w:rsidR="00FB66A2" w:rsidRPr="005231B7">
        <w:rPr>
          <w:rFonts w:ascii="Arial" w:hAnsi="Arial" w:cs="Arial"/>
          <w:bCs/>
          <w:smallCaps/>
        </w:rPr>
        <w:t>Lineamientos para el Turno Aleatorio</w:t>
      </w:r>
      <w:r w:rsidR="008776BD" w:rsidRPr="005231B7">
        <w:rPr>
          <w:rFonts w:ascii="Arial" w:hAnsi="Arial" w:cs="Arial"/>
          <w:bCs/>
        </w:rPr>
        <w:t xml:space="preserve">, </w:t>
      </w:r>
      <w:r w:rsidR="00FB66A2" w:rsidRPr="005231B7">
        <w:rPr>
          <w:rFonts w:ascii="Arial" w:eastAsia="Times New Roman" w:hAnsi="Arial" w:cs="Arial"/>
          <w:bCs/>
          <w:lang w:eastAsia="es-MX"/>
        </w:rPr>
        <w:t>túrnese los autos a la ponencia de</w:t>
      </w:r>
      <w:r w:rsidR="00E80CE7" w:rsidRPr="005231B7">
        <w:rPr>
          <w:rFonts w:ascii="Arial" w:eastAsia="Times New Roman" w:hAnsi="Arial" w:cs="Arial"/>
          <w:bCs/>
          <w:lang w:eastAsia="es-MX"/>
        </w:rPr>
        <w:t>l</w:t>
      </w:r>
      <w:r w:rsidR="00FB66A2" w:rsidRPr="005231B7">
        <w:rPr>
          <w:rFonts w:ascii="Arial" w:eastAsia="Times New Roman" w:hAnsi="Arial" w:cs="Arial"/>
          <w:bCs/>
          <w:lang w:eastAsia="es-MX"/>
        </w:rPr>
        <w:t xml:space="preserve"> </w:t>
      </w:r>
      <w:r w:rsidR="00FB66A2" w:rsidRPr="005231B7">
        <w:rPr>
          <w:rFonts w:ascii="Arial" w:eastAsia="Times New Roman" w:hAnsi="Arial" w:cs="Arial"/>
          <w:b/>
          <w:lang w:eastAsia="es-MX"/>
        </w:rPr>
        <w:t>Magistrad</w:t>
      </w:r>
      <w:r w:rsidR="00E80CE7" w:rsidRPr="005231B7">
        <w:rPr>
          <w:rFonts w:ascii="Arial" w:eastAsia="Times New Roman" w:hAnsi="Arial" w:cs="Arial"/>
          <w:b/>
          <w:lang w:eastAsia="es-MX"/>
        </w:rPr>
        <w:t>o</w:t>
      </w:r>
      <w:r w:rsidR="00FB66A2" w:rsidRPr="005231B7">
        <w:rPr>
          <w:rFonts w:ascii="Arial" w:eastAsia="Times New Roman" w:hAnsi="Arial" w:cs="Arial"/>
          <w:b/>
          <w:lang w:eastAsia="es-MX"/>
        </w:rPr>
        <w:t xml:space="preserve"> </w:t>
      </w:r>
      <w:r w:rsidR="00E80CE7" w:rsidRPr="005231B7">
        <w:rPr>
          <w:rFonts w:ascii="Arial" w:eastAsia="Times New Roman" w:hAnsi="Arial" w:cs="Arial"/>
          <w:b/>
          <w:lang w:eastAsia="es-MX"/>
        </w:rPr>
        <w:t xml:space="preserve">Presidente Héctor </w:t>
      </w:r>
      <w:r w:rsidR="00E80CE7" w:rsidRPr="005231B7">
        <w:rPr>
          <w:rFonts w:ascii="Arial" w:eastAsia="Times New Roman" w:hAnsi="Arial" w:cs="Arial"/>
          <w:b/>
          <w:lang w:eastAsia="es-MX"/>
        </w:rPr>
        <w:lastRenderedPageBreak/>
        <w:t xml:space="preserve">Salvador Gallegos </w:t>
      </w:r>
      <w:r w:rsidR="00FB66A2" w:rsidRPr="005231B7">
        <w:rPr>
          <w:rFonts w:ascii="Arial" w:eastAsia="Times New Roman" w:hAnsi="Arial" w:cs="Arial"/>
          <w:b/>
          <w:lang w:eastAsia="es-MX"/>
        </w:rPr>
        <w:t xml:space="preserve">Hernández, </w:t>
      </w:r>
      <w:r w:rsidR="00FB66A2" w:rsidRPr="005231B7">
        <w:rPr>
          <w:rFonts w:ascii="Arial" w:eastAsia="Times New Roman" w:hAnsi="Arial" w:cs="Arial"/>
          <w:bCs/>
          <w:lang w:eastAsia="es-MX"/>
        </w:rPr>
        <w:t>p</w:t>
      </w:r>
      <w:r w:rsidR="0049280A" w:rsidRPr="005231B7">
        <w:rPr>
          <w:rFonts w:ascii="Arial" w:eastAsia="Times New Roman" w:hAnsi="Arial" w:cs="Arial"/>
          <w:bCs/>
          <w:lang w:eastAsia="es-MX"/>
        </w:rPr>
        <w:t xml:space="preserve">ara los efectos previstos en </w:t>
      </w:r>
      <w:r w:rsidR="00EC2088" w:rsidRPr="005231B7">
        <w:rPr>
          <w:rFonts w:ascii="Arial" w:eastAsia="Times New Roman" w:hAnsi="Arial" w:cs="Arial"/>
          <w:bCs/>
          <w:lang w:eastAsia="es-MX"/>
        </w:rPr>
        <w:t xml:space="preserve">los artículos 313, del </w:t>
      </w:r>
      <w:r w:rsidR="00EC2088" w:rsidRPr="005231B7">
        <w:rPr>
          <w:rFonts w:ascii="Arial" w:hAnsi="Arial" w:cs="Arial"/>
          <w:smallCaps/>
        </w:rPr>
        <w:t xml:space="preserve">Código Electoral; </w:t>
      </w:r>
      <w:r w:rsidR="00EC2088" w:rsidRPr="005231B7">
        <w:rPr>
          <w:rFonts w:ascii="Arial" w:hAnsi="Arial" w:cs="Arial"/>
        </w:rPr>
        <w:t xml:space="preserve">Segundo, último párrafo, </w:t>
      </w:r>
      <w:r w:rsidR="00EC2088" w:rsidRPr="005231B7">
        <w:rPr>
          <w:rFonts w:ascii="Arial" w:eastAsia="Times New Roman" w:hAnsi="Arial" w:cs="Arial"/>
          <w:bCs/>
          <w:lang w:eastAsia="es-MX"/>
        </w:rPr>
        <w:t xml:space="preserve">de los </w:t>
      </w:r>
      <w:r w:rsidR="00EC2088" w:rsidRPr="005231B7">
        <w:rPr>
          <w:rFonts w:ascii="Arial" w:hAnsi="Arial" w:cs="Arial"/>
          <w:bCs/>
          <w:smallCaps/>
        </w:rPr>
        <w:t>Lineamientos para el Turno Aleatorio</w:t>
      </w:r>
      <w:r w:rsidR="00EC2088" w:rsidRPr="005231B7">
        <w:rPr>
          <w:rFonts w:ascii="Arial" w:hAnsi="Arial" w:cs="Arial"/>
          <w:bCs/>
        </w:rPr>
        <w:t xml:space="preserve">; y, </w:t>
      </w:r>
      <w:bookmarkStart w:id="3" w:name="_Hlk154512298"/>
      <w:r w:rsidR="00BF531E" w:rsidRPr="005231B7">
        <w:rPr>
          <w:rFonts w:ascii="Arial" w:eastAsia="Times New Roman" w:hAnsi="Arial" w:cs="Arial"/>
          <w:bCs/>
          <w:lang w:eastAsia="es-MX"/>
        </w:rPr>
        <w:t xml:space="preserve">103, 104, y 105 fracción II, del </w:t>
      </w:r>
      <w:r w:rsidR="00BF531E" w:rsidRPr="005231B7">
        <w:rPr>
          <w:rFonts w:ascii="Arial" w:eastAsia="Times New Roman" w:hAnsi="Arial" w:cs="Arial"/>
          <w:bCs/>
          <w:smallCaps/>
          <w:lang w:eastAsia="es-MX"/>
        </w:rPr>
        <w:t>Reglamento Interior</w:t>
      </w:r>
      <w:bookmarkEnd w:id="3"/>
      <w:r w:rsidR="00DE4527" w:rsidRPr="005231B7">
        <w:rPr>
          <w:rFonts w:ascii="Arial" w:eastAsia="Times New Roman" w:hAnsi="Arial" w:cs="Arial"/>
          <w:b/>
          <w:lang w:eastAsia="es-MX"/>
        </w:rPr>
        <w:t>.</w:t>
      </w:r>
      <w:r w:rsidR="00CA282F" w:rsidRPr="005231B7">
        <w:rPr>
          <w:rStyle w:val="Refdenotaalpie"/>
          <w:rFonts w:ascii="Arial" w:eastAsia="Times New Roman" w:hAnsi="Arial" w:cs="Arial"/>
          <w:b/>
          <w:lang w:eastAsia="es-MX"/>
        </w:rPr>
        <w:footnoteReference w:id="2"/>
      </w:r>
    </w:p>
    <w:p w14:paraId="67357DB5" w14:textId="77777777" w:rsidR="00026873" w:rsidRPr="005231B7" w:rsidRDefault="00026873" w:rsidP="00906625">
      <w:pPr>
        <w:spacing w:before="100" w:beforeAutospacing="1" w:after="100" w:afterAutospacing="1" w:line="360" w:lineRule="auto"/>
        <w:jc w:val="both"/>
        <w:rPr>
          <w:rFonts w:ascii="Arial" w:eastAsia="Times New Roman" w:hAnsi="Arial" w:cs="Arial"/>
          <w:bCs/>
          <w:lang w:eastAsia="es-MX"/>
        </w:rPr>
      </w:pPr>
      <w:r w:rsidRPr="005231B7">
        <w:rPr>
          <w:rFonts w:ascii="Arial" w:eastAsia="Times New Roman" w:hAnsi="Arial" w:cs="Arial"/>
          <w:bCs/>
          <w:lang w:eastAsia="es-MX"/>
        </w:rPr>
        <w:t>Hágase la publicación del presente acuerdo en los estrados físicos y electrónicos de este Tribunal.</w:t>
      </w:r>
    </w:p>
    <w:p w14:paraId="0A246837" w14:textId="77777777" w:rsidR="00026873" w:rsidRPr="005231B7" w:rsidRDefault="00026873" w:rsidP="00906625">
      <w:pPr>
        <w:spacing w:before="100" w:beforeAutospacing="1" w:after="100" w:afterAutospacing="1" w:line="360" w:lineRule="auto"/>
        <w:jc w:val="both"/>
        <w:rPr>
          <w:rFonts w:ascii="Arial" w:eastAsia="Times New Roman" w:hAnsi="Arial" w:cs="Arial"/>
          <w:bCs/>
          <w:lang w:eastAsia="es-MX"/>
        </w:rPr>
      </w:pPr>
      <w:r w:rsidRPr="005231B7">
        <w:rPr>
          <w:rFonts w:ascii="Arial" w:eastAsia="Times New Roman" w:hAnsi="Arial" w:cs="Arial"/>
          <w:b/>
          <w:bCs/>
          <w:lang w:eastAsia="es-MX"/>
        </w:rPr>
        <w:t xml:space="preserve">NOTIFÍQUESE. </w:t>
      </w:r>
    </w:p>
    <w:p w14:paraId="508D67C7" w14:textId="6873FDB3" w:rsidR="00026873" w:rsidRPr="005231B7" w:rsidRDefault="00026873" w:rsidP="00906625">
      <w:pPr>
        <w:spacing w:before="100" w:beforeAutospacing="1" w:after="100" w:afterAutospacing="1" w:line="360" w:lineRule="auto"/>
        <w:jc w:val="both"/>
        <w:rPr>
          <w:rFonts w:ascii="Arial" w:eastAsia="Times New Roman" w:hAnsi="Arial" w:cs="Arial"/>
          <w:bCs/>
          <w:lang w:eastAsia="es-MX"/>
        </w:rPr>
      </w:pPr>
      <w:bookmarkStart w:id="4" w:name="_Hlk55568506"/>
      <w:r w:rsidRPr="005231B7">
        <w:rPr>
          <w:rFonts w:ascii="Arial" w:eastAsia="Times New Roman" w:hAnsi="Arial" w:cs="Arial"/>
          <w:bCs/>
          <w:lang w:eastAsia="es-MX"/>
        </w:rPr>
        <w:t xml:space="preserve">Así lo acordó y firma </w:t>
      </w:r>
      <w:r w:rsidR="00BC22AF" w:rsidRPr="005231B7">
        <w:rPr>
          <w:rFonts w:ascii="Arial" w:eastAsia="Times New Roman" w:hAnsi="Arial" w:cs="Arial"/>
          <w:bCs/>
          <w:lang w:eastAsia="es-MX"/>
        </w:rPr>
        <w:t>el</w:t>
      </w:r>
      <w:r w:rsidRPr="005231B7">
        <w:rPr>
          <w:rFonts w:ascii="Arial" w:eastAsia="Times New Roman" w:hAnsi="Arial" w:cs="Arial"/>
          <w:bCs/>
          <w:lang w:eastAsia="es-MX"/>
        </w:rPr>
        <w:t xml:space="preserve"> Magistrad</w:t>
      </w:r>
      <w:r w:rsidR="00BC22AF" w:rsidRPr="005231B7">
        <w:rPr>
          <w:rFonts w:ascii="Arial" w:eastAsia="Times New Roman" w:hAnsi="Arial" w:cs="Arial"/>
          <w:bCs/>
          <w:lang w:eastAsia="es-MX"/>
        </w:rPr>
        <w:t>o</w:t>
      </w:r>
      <w:r w:rsidRPr="005231B7">
        <w:rPr>
          <w:rFonts w:ascii="Arial" w:eastAsia="Times New Roman" w:hAnsi="Arial" w:cs="Arial"/>
          <w:bCs/>
          <w:lang w:eastAsia="es-MX"/>
        </w:rPr>
        <w:t xml:space="preserve"> President</w:t>
      </w:r>
      <w:r w:rsidR="00BC22AF" w:rsidRPr="005231B7">
        <w:rPr>
          <w:rFonts w:ascii="Arial" w:eastAsia="Times New Roman" w:hAnsi="Arial" w:cs="Arial"/>
          <w:bCs/>
          <w:lang w:eastAsia="es-MX"/>
        </w:rPr>
        <w:t>e</w:t>
      </w:r>
      <w:r w:rsidRPr="005231B7">
        <w:rPr>
          <w:rFonts w:ascii="Arial" w:eastAsia="Times New Roman" w:hAnsi="Arial" w:cs="Arial"/>
          <w:bCs/>
          <w:lang w:eastAsia="es-MX"/>
        </w:rPr>
        <w:t xml:space="preserve"> de este Tribunal Electoral, </w:t>
      </w:r>
      <w:r w:rsidR="00BC22AF" w:rsidRPr="005231B7">
        <w:rPr>
          <w:rFonts w:ascii="Arial" w:eastAsia="Times New Roman" w:hAnsi="Arial" w:cs="Arial"/>
          <w:bCs/>
          <w:lang w:eastAsia="es-MX"/>
        </w:rPr>
        <w:t>Héctor Salvador Hernández Gallegos</w:t>
      </w:r>
      <w:r w:rsidRPr="005231B7">
        <w:rPr>
          <w:rFonts w:ascii="Arial" w:eastAsia="Times New Roman" w:hAnsi="Arial" w:cs="Arial"/>
          <w:bCs/>
          <w:lang w:eastAsia="es-MX"/>
        </w:rPr>
        <w:t xml:space="preserve">, ante el Secretario General de Acuerdos </w:t>
      </w:r>
      <w:r w:rsidR="00BC22AF" w:rsidRPr="005231B7">
        <w:rPr>
          <w:rFonts w:ascii="Arial" w:eastAsia="Times New Roman" w:hAnsi="Arial" w:cs="Arial"/>
          <w:bCs/>
          <w:lang w:eastAsia="es-MX"/>
        </w:rPr>
        <w:t>en funciones</w:t>
      </w:r>
      <w:r w:rsidR="00E33F2B" w:rsidRPr="005231B7">
        <w:rPr>
          <w:rFonts w:ascii="Arial" w:eastAsia="Times New Roman" w:hAnsi="Arial" w:cs="Arial"/>
          <w:bCs/>
          <w:lang w:eastAsia="es-MX"/>
        </w:rPr>
        <w:t>,</w:t>
      </w:r>
      <w:r w:rsidR="00BC22AF" w:rsidRPr="005231B7">
        <w:rPr>
          <w:rFonts w:ascii="Arial" w:eastAsia="Times New Roman" w:hAnsi="Arial" w:cs="Arial"/>
          <w:bCs/>
          <w:lang w:eastAsia="es-MX"/>
        </w:rPr>
        <w:t xml:space="preserve"> </w:t>
      </w:r>
      <w:r w:rsidRPr="005231B7">
        <w:rPr>
          <w:rFonts w:ascii="Arial" w:eastAsia="Times New Roman" w:hAnsi="Arial" w:cs="Arial"/>
          <w:bCs/>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717"/>
      </w:tblGrid>
      <w:tr w:rsidR="00555801" w:rsidRPr="005231B7" w14:paraId="2FF2C843" w14:textId="77777777" w:rsidTr="00555801">
        <w:tc>
          <w:tcPr>
            <w:tcW w:w="4116" w:type="dxa"/>
          </w:tcPr>
          <w:p w14:paraId="168D582B" w14:textId="4CAB5D6C" w:rsidR="00555801" w:rsidRDefault="00555801" w:rsidP="00DA5E73">
            <w:pPr>
              <w:spacing w:after="0" w:line="240" w:lineRule="auto"/>
              <w:ind w:left="284"/>
              <w:jc w:val="center"/>
              <w:rPr>
                <w:rFonts w:ascii="Arial" w:eastAsia="Times New Roman" w:hAnsi="Arial" w:cs="Arial"/>
                <w:b/>
                <w:bCs/>
                <w:kern w:val="16"/>
                <w:lang w:eastAsia="es-ES"/>
              </w:rPr>
            </w:pPr>
            <w:r w:rsidRPr="005231B7">
              <w:rPr>
                <w:rFonts w:ascii="Arial" w:eastAsia="Times New Roman" w:hAnsi="Arial" w:cs="Arial"/>
                <w:b/>
                <w:bCs/>
                <w:kern w:val="16"/>
                <w:lang w:eastAsia="es-ES"/>
              </w:rPr>
              <w:t>Magistrado Presidente</w:t>
            </w:r>
          </w:p>
          <w:p w14:paraId="0C28CF8A" w14:textId="7936D3EA" w:rsidR="00FA77EB" w:rsidRDefault="00FA77EB" w:rsidP="00DA5E73">
            <w:pPr>
              <w:spacing w:after="0" w:line="240" w:lineRule="auto"/>
              <w:ind w:left="284"/>
              <w:jc w:val="center"/>
              <w:rPr>
                <w:rFonts w:ascii="Arial" w:eastAsia="Times New Roman" w:hAnsi="Arial" w:cs="Arial"/>
                <w:b/>
                <w:bCs/>
                <w:kern w:val="16"/>
                <w:lang w:eastAsia="es-ES"/>
              </w:rPr>
            </w:pPr>
          </w:p>
          <w:p w14:paraId="0A2E1051" w14:textId="77777777" w:rsidR="00FA77EB" w:rsidRDefault="00FA77EB" w:rsidP="00DA5E73">
            <w:pPr>
              <w:spacing w:after="0" w:line="240" w:lineRule="auto"/>
              <w:ind w:left="284"/>
              <w:jc w:val="center"/>
              <w:rPr>
                <w:rFonts w:ascii="Arial" w:eastAsia="Times New Roman" w:hAnsi="Arial" w:cs="Arial"/>
                <w:b/>
                <w:bCs/>
                <w:kern w:val="16"/>
                <w:lang w:eastAsia="es-ES"/>
              </w:rPr>
            </w:pPr>
          </w:p>
          <w:p w14:paraId="13277B44" w14:textId="42327C4F" w:rsidR="00FA77EB" w:rsidRPr="00DA5E73" w:rsidRDefault="00FA77EB" w:rsidP="00DA5E73">
            <w:pPr>
              <w:spacing w:after="0" w:line="240" w:lineRule="auto"/>
              <w:ind w:left="284"/>
              <w:jc w:val="center"/>
              <w:rPr>
                <w:rFonts w:ascii="Arial" w:eastAsia="Times New Roman" w:hAnsi="Arial" w:cs="Arial"/>
                <w:b/>
                <w:bCs/>
                <w:kern w:val="16"/>
                <w:lang w:eastAsia="es-ES"/>
              </w:rPr>
            </w:pPr>
          </w:p>
          <w:p w14:paraId="01EEBA1D" w14:textId="77777777" w:rsidR="00FA77EB" w:rsidRDefault="00FA77EB" w:rsidP="005231B7">
            <w:pPr>
              <w:spacing w:after="0" w:line="240" w:lineRule="auto"/>
              <w:ind w:left="284"/>
              <w:jc w:val="center"/>
              <w:rPr>
                <w:rFonts w:ascii="Arial" w:eastAsia="Times New Roman" w:hAnsi="Arial" w:cs="Arial"/>
                <w:b/>
                <w:bCs/>
                <w:lang w:eastAsia="es-MX"/>
              </w:rPr>
            </w:pPr>
          </w:p>
          <w:p w14:paraId="01EB2937" w14:textId="77777777" w:rsidR="00FA77EB" w:rsidRDefault="00FA77EB" w:rsidP="005231B7">
            <w:pPr>
              <w:spacing w:after="0" w:line="240" w:lineRule="auto"/>
              <w:ind w:left="284"/>
              <w:jc w:val="center"/>
              <w:rPr>
                <w:rFonts w:ascii="Arial" w:eastAsia="Times New Roman" w:hAnsi="Arial" w:cs="Arial"/>
                <w:b/>
                <w:bCs/>
                <w:lang w:eastAsia="es-MX"/>
              </w:rPr>
            </w:pPr>
          </w:p>
          <w:p w14:paraId="1C84379D" w14:textId="3E669EE9" w:rsidR="00555801" w:rsidRPr="005231B7" w:rsidRDefault="00555801" w:rsidP="005231B7">
            <w:pPr>
              <w:spacing w:after="0" w:line="240" w:lineRule="auto"/>
              <w:ind w:left="284"/>
              <w:jc w:val="center"/>
              <w:rPr>
                <w:rFonts w:ascii="Arial" w:eastAsia="Times New Roman" w:hAnsi="Arial" w:cs="Arial"/>
                <w:b/>
                <w:bCs/>
                <w:kern w:val="16"/>
                <w:lang w:eastAsia="es-ES"/>
              </w:rPr>
            </w:pPr>
            <w:r w:rsidRPr="005231B7">
              <w:rPr>
                <w:rFonts w:ascii="Arial" w:eastAsia="Times New Roman" w:hAnsi="Arial" w:cs="Arial"/>
                <w:b/>
                <w:bCs/>
                <w:lang w:eastAsia="es-MX"/>
              </w:rPr>
              <w:t>Héctor Salvador Hernández Gallegos</w:t>
            </w:r>
          </w:p>
          <w:p w14:paraId="0111126F" w14:textId="77777777" w:rsidR="00555801" w:rsidRPr="005231B7" w:rsidRDefault="00555801" w:rsidP="006E4A84">
            <w:pPr>
              <w:spacing w:after="0" w:line="360" w:lineRule="auto"/>
              <w:jc w:val="center"/>
              <w:rPr>
                <w:rFonts w:ascii="Arial" w:eastAsia="Times New Roman" w:hAnsi="Arial" w:cs="Arial"/>
                <w:b/>
                <w:bCs/>
                <w:kern w:val="16"/>
                <w:lang w:eastAsia="es-ES"/>
              </w:rPr>
            </w:pPr>
          </w:p>
        </w:tc>
        <w:tc>
          <w:tcPr>
            <w:tcW w:w="4717" w:type="dxa"/>
          </w:tcPr>
          <w:p w14:paraId="0456CBB0" w14:textId="652BC33C" w:rsidR="006E4A84" w:rsidRPr="005231B7" w:rsidRDefault="00555801" w:rsidP="00DA5E73">
            <w:pPr>
              <w:spacing w:after="0" w:line="240" w:lineRule="auto"/>
              <w:ind w:left="284"/>
              <w:jc w:val="center"/>
              <w:rPr>
                <w:rFonts w:ascii="Arial" w:eastAsia="Times New Roman" w:hAnsi="Arial" w:cs="Arial"/>
                <w:b/>
                <w:bCs/>
                <w:kern w:val="16"/>
                <w:lang w:eastAsia="es-ES"/>
              </w:rPr>
            </w:pPr>
            <w:r w:rsidRPr="005231B7">
              <w:rPr>
                <w:rFonts w:ascii="Arial" w:eastAsia="Times New Roman" w:hAnsi="Arial" w:cs="Arial"/>
                <w:b/>
                <w:bCs/>
                <w:kern w:val="16"/>
                <w:lang w:eastAsia="es-ES"/>
              </w:rPr>
              <w:t xml:space="preserve">Secretario General de Acuerdos en </w:t>
            </w:r>
            <w:r w:rsidR="005231B7">
              <w:rPr>
                <w:rFonts w:ascii="Arial" w:eastAsia="Times New Roman" w:hAnsi="Arial" w:cs="Arial"/>
                <w:b/>
                <w:bCs/>
                <w:kern w:val="16"/>
                <w:lang w:eastAsia="es-ES"/>
              </w:rPr>
              <w:t>F</w:t>
            </w:r>
            <w:r w:rsidRPr="005231B7">
              <w:rPr>
                <w:rFonts w:ascii="Arial" w:eastAsia="Times New Roman" w:hAnsi="Arial" w:cs="Arial"/>
                <w:b/>
                <w:bCs/>
                <w:kern w:val="16"/>
                <w:lang w:eastAsia="es-ES"/>
              </w:rPr>
              <w:t>unciones.</w:t>
            </w:r>
          </w:p>
          <w:p w14:paraId="4ED55165" w14:textId="09C13F3D" w:rsidR="00FA77EB" w:rsidRDefault="00FA77EB" w:rsidP="005231B7">
            <w:pPr>
              <w:tabs>
                <w:tab w:val="left" w:pos="8505"/>
              </w:tabs>
              <w:spacing w:after="0" w:line="240" w:lineRule="auto"/>
              <w:ind w:left="284" w:right="333"/>
              <w:jc w:val="center"/>
              <w:rPr>
                <w:rFonts w:ascii="Arial" w:eastAsia="Times New Roman" w:hAnsi="Arial" w:cs="Arial"/>
                <w:b/>
                <w:bCs/>
                <w:kern w:val="16"/>
                <w:lang w:eastAsia="es-ES"/>
              </w:rPr>
            </w:pPr>
          </w:p>
          <w:p w14:paraId="6DACB030" w14:textId="507B18F0" w:rsidR="00FA77EB" w:rsidRDefault="00FA77EB" w:rsidP="005231B7">
            <w:pPr>
              <w:tabs>
                <w:tab w:val="left" w:pos="8505"/>
              </w:tabs>
              <w:spacing w:after="0" w:line="240" w:lineRule="auto"/>
              <w:ind w:left="284" w:right="333"/>
              <w:jc w:val="center"/>
              <w:rPr>
                <w:rFonts w:ascii="Arial" w:eastAsia="Times New Roman" w:hAnsi="Arial" w:cs="Arial"/>
                <w:b/>
                <w:bCs/>
                <w:kern w:val="16"/>
                <w:lang w:eastAsia="es-ES"/>
              </w:rPr>
            </w:pPr>
          </w:p>
          <w:p w14:paraId="5808A7C6" w14:textId="1C87F507" w:rsidR="00FA77EB" w:rsidRDefault="00FA77EB" w:rsidP="005231B7">
            <w:pPr>
              <w:tabs>
                <w:tab w:val="left" w:pos="8505"/>
              </w:tabs>
              <w:spacing w:after="0" w:line="240" w:lineRule="auto"/>
              <w:ind w:left="284" w:right="333"/>
              <w:jc w:val="center"/>
              <w:rPr>
                <w:rFonts w:ascii="Arial" w:eastAsia="Times New Roman" w:hAnsi="Arial" w:cs="Arial"/>
                <w:b/>
                <w:bCs/>
                <w:kern w:val="16"/>
                <w:lang w:eastAsia="es-ES"/>
              </w:rPr>
            </w:pPr>
          </w:p>
          <w:p w14:paraId="66B84CFC" w14:textId="6EEE63F8" w:rsidR="00FA77EB" w:rsidRDefault="00FA77EB" w:rsidP="005231B7">
            <w:pPr>
              <w:tabs>
                <w:tab w:val="left" w:pos="8505"/>
              </w:tabs>
              <w:spacing w:after="0" w:line="240" w:lineRule="auto"/>
              <w:ind w:left="284" w:right="333"/>
              <w:jc w:val="center"/>
              <w:rPr>
                <w:rFonts w:ascii="Arial" w:eastAsia="Times New Roman" w:hAnsi="Arial" w:cs="Arial"/>
                <w:b/>
                <w:bCs/>
                <w:kern w:val="16"/>
                <w:lang w:eastAsia="es-ES"/>
              </w:rPr>
            </w:pPr>
          </w:p>
          <w:p w14:paraId="75F6AAFF" w14:textId="5F193FFA" w:rsidR="00555801" w:rsidRPr="005231B7" w:rsidRDefault="00555801" w:rsidP="005231B7">
            <w:pPr>
              <w:tabs>
                <w:tab w:val="left" w:pos="8505"/>
              </w:tabs>
              <w:spacing w:after="0" w:line="240" w:lineRule="auto"/>
              <w:ind w:left="284" w:right="333"/>
              <w:jc w:val="center"/>
              <w:rPr>
                <w:rFonts w:ascii="Arial" w:eastAsia="Times New Roman" w:hAnsi="Arial" w:cs="Arial"/>
                <w:b/>
                <w:bCs/>
                <w:kern w:val="16"/>
                <w:lang w:eastAsia="es-ES"/>
              </w:rPr>
            </w:pPr>
            <w:r w:rsidRPr="005231B7">
              <w:rPr>
                <w:rFonts w:ascii="Arial" w:eastAsia="Times New Roman" w:hAnsi="Arial" w:cs="Arial"/>
                <w:b/>
                <w:bCs/>
                <w:kern w:val="16"/>
                <w:lang w:eastAsia="es-ES"/>
              </w:rPr>
              <w:t>Joel Valentín Jiménez Almanza.</w:t>
            </w:r>
          </w:p>
          <w:p w14:paraId="06FCEBE8" w14:textId="77777777" w:rsidR="00555801" w:rsidRPr="005231B7" w:rsidRDefault="00555801" w:rsidP="006E4A84">
            <w:pPr>
              <w:spacing w:after="0" w:line="360" w:lineRule="auto"/>
              <w:jc w:val="center"/>
              <w:rPr>
                <w:rFonts w:ascii="Arial" w:eastAsia="Times New Roman" w:hAnsi="Arial" w:cs="Arial"/>
                <w:b/>
                <w:bCs/>
                <w:kern w:val="16"/>
                <w:lang w:eastAsia="es-ES"/>
              </w:rPr>
            </w:pPr>
          </w:p>
        </w:tc>
      </w:tr>
    </w:tbl>
    <w:p w14:paraId="5ACD3039" w14:textId="2E3806ED"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4"/>
    <w:sectPr w:rsidR="00026873" w:rsidRPr="005231B7" w:rsidSect="00233D05">
      <w:headerReference w:type="default" r:id="rId7"/>
      <w:footerReference w:type="default" r:id="rId8"/>
      <w:pgSz w:w="12240" w:h="20160" w:code="5"/>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31238FAA" w14:textId="2AE034A0" w:rsidR="00CA282F" w:rsidRPr="00275730" w:rsidRDefault="00CA282F"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w:t>
      </w:r>
      <w:r w:rsidR="00DB57FA" w:rsidRPr="00275730">
        <w:rPr>
          <w:rFonts w:ascii="Arial" w:hAnsi="Arial" w:cs="Arial"/>
          <w:sz w:val="16"/>
          <w:szCs w:val="16"/>
        </w:rPr>
        <w:t xml:space="preserve">18, fracción XIII, </w:t>
      </w:r>
      <w:r w:rsidRPr="00275730">
        <w:rPr>
          <w:rFonts w:ascii="Arial" w:hAnsi="Arial" w:cs="Arial"/>
          <w:sz w:val="16"/>
          <w:szCs w:val="16"/>
        </w:rPr>
        <w:t xml:space="preserve">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49D435CC">
          <wp:simplePos x="0" y="0"/>
          <wp:positionH relativeFrom="margin">
            <wp:posOffset>-688006</wp:posOffset>
          </wp:positionH>
          <wp:positionV relativeFrom="paragraph">
            <wp:posOffset>-165154</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750FD"/>
    <w:rsid w:val="000E338A"/>
    <w:rsid w:val="000E5FB7"/>
    <w:rsid w:val="00120579"/>
    <w:rsid w:val="0014758F"/>
    <w:rsid w:val="001A0E38"/>
    <w:rsid w:val="001E7359"/>
    <w:rsid w:val="00233D05"/>
    <w:rsid w:val="00233E46"/>
    <w:rsid w:val="00247309"/>
    <w:rsid w:val="00266CE7"/>
    <w:rsid w:val="00275730"/>
    <w:rsid w:val="002B46B4"/>
    <w:rsid w:val="0034533C"/>
    <w:rsid w:val="003E4AAE"/>
    <w:rsid w:val="004318B7"/>
    <w:rsid w:val="004349E9"/>
    <w:rsid w:val="004403C8"/>
    <w:rsid w:val="004425BB"/>
    <w:rsid w:val="0045764D"/>
    <w:rsid w:val="004722DC"/>
    <w:rsid w:val="0049280A"/>
    <w:rsid w:val="00493619"/>
    <w:rsid w:val="005231B7"/>
    <w:rsid w:val="005357A9"/>
    <w:rsid w:val="005425EC"/>
    <w:rsid w:val="00555801"/>
    <w:rsid w:val="005B48E1"/>
    <w:rsid w:val="005E39BB"/>
    <w:rsid w:val="006228E8"/>
    <w:rsid w:val="00631E08"/>
    <w:rsid w:val="00632C16"/>
    <w:rsid w:val="00664CFF"/>
    <w:rsid w:val="006B6603"/>
    <w:rsid w:val="006E4A84"/>
    <w:rsid w:val="00715097"/>
    <w:rsid w:val="0072022B"/>
    <w:rsid w:val="00762E19"/>
    <w:rsid w:val="007678BE"/>
    <w:rsid w:val="00773F83"/>
    <w:rsid w:val="007974F0"/>
    <w:rsid w:val="007D1747"/>
    <w:rsid w:val="00817557"/>
    <w:rsid w:val="008623BA"/>
    <w:rsid w:val="00866475"/>
    <w:rsid w:val="0087157B"/>
    <w:rsid w:val="008776BD"/>
    <w:rsid w:val="008D7431"/>
    <w:rsid w:val="00906625"/>
    <w:rsid w:val="00906AEE"/>
    <w:rsid w:val="0091738F"/>
    <w:rsid w:val="00965856"/>
    <w:rsid w:val="00992A84"/>
    <w:rsid w:val="009C6F60"/>
    <w:rsid w:val="009F694B"/>
    <w:rsid w:val="00A32ADD"/>
    <w:rsid w:val="00A86147"/>
    <w:rsid w:val="00B02A9E"/>
    <w:rsid w:val="00B276C3"/>
    <w:rsid w:val="00B620AF"/>
    <w:rsid w:val="00B66D2F"/>
    <w:rsid w:val="00B9223C"/>
    <w:rsid w:val="00B970FA"/>
    <w:rsid w:val="00BC22AF"/>
    <w:rsid w:val="00BE1140"/>
    <w:rsid w:val="00BF531E"/>
    <w:rsid w:val="00C11776"/>
    <w:rsid w:val="00C461CE"/>
    <w:rsid w:val="00C625CA"/>
    <w:rsid w:val="00C87EDD"/>
    <w:rsid w:val="00C9126D"/>
    <w:rsid w:val="00C95FCB"/>
    <w:rsid w:val="00CA282F"/>
    <w:rsid w:val="00CE1996"/>
    <w:rsid w:val="00D11EAB"/>
    <w:rsid w:val="00D33F9B"/>
    <w:rsid w:val="00DA5E73"/>
    <w:rsid w:val="00DB57FA"/>
    <w:rsid w:val="00DC63EC"/>
    <w:rsid w:val="00DE4527"/>
    <w:rsid w:val="00E21ECD"/>
    <w:rsid w:val="00E33F2B"/>
    <w:rsid w:val="00E80CE7"/>
    <w:rsid w:val="00E83599"/>
    <w:rsid w:val="00EC2088"/>
    <w:rsid w:val="00ED0261"/>
    <w:rsid w:val="00EF6624"/>
    <w:rsid w:val="00F621D9"/>
    <w:rsid w:val="00F668A2"/>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2</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93</cp:revision>
  <cp:lastPrinted>2024-03-28T22:02:00Z</cp:lastPrinted>
  <dcterms:created xsi:type="dcterms:W3CDTF">2023-12-27T00:51:00Z</dcterms:created>
  <dcterms:modified xsi:type="dcterms:W3CDTF">2024-03-28T22:06:00Z</dcterms:modified>
</cp:coreProperties>
</file>